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7" w:rsidRPr="006C0727" w:rsidRDefault="000F1D9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C0727">
        <w:rPr>
          <w:b/>
          <w:sz w:val="28"/>
          <w:szCs w:val="28"/>
          <w:u w:val="single"/>
        </w:rPr>
        <w:t xml:space="preserve">Nyregistrerte og bruktimporterte traktorer </w:t>
      </w:r>
    </w:p>
    <w:p w:rsidR="006C0727" w:rsidRDefault="006C0727">
      <w:pPr>
        <w:rPr>
          <w:u w:val="single"/>
        </w:rPr>
      </w:pPr>
    </w:p>
    <w:p w:rsidR="000F1D9F" w:rsidRDefault="006C0727">
      <w:pPr>
        <w:rPr>
          <w:u w:val="single"/>
        </w:rPr>
      </w:pPr>
      <w:r>
        <w:rPr>
          <w:u w:val="single"/>
        </w:rPr>
        <w:t xml:space="preserve">Årstall </w:t>
      </w:r>
      <w:r w:rsidR="000F1D9F" w:rsidRPr="000F1D9F">
        <w:rPr>
          <w:u w:val="single"/>
        </w:rPr>
        <w:t>1993-201</w:t>
      </w:r>
      <w:r w:rsidR="00170F9B">
        <w:rPr>
          <w:u w:val="single"/>
        </w:rPr>
        <w:t>4 og anslag 2015</w:t>
      </w:r>
    </w:p>
    <w:p w:rsidR="008C7199" w:rsidRDefault="008C7199">
      <w:pPr>
        <w:rPr>
          <w:u w:val="single"/>
        </w:rPr>
      </w:pPr>
    </w:p>
    <w:p w:rsidR="006C0727" w:rsidRDefault="006C0727" w:rsidP="006C0727">
      <w:r w:rsidRPr="008C7199">
        <w:t>Figur</w:t>
      </w:r>
      <w:r>
        <w:t xml:space="preserve"> 1</w:t>
      </w:r>
      <w:r w:rsidRPr="008C7199">
        <w:t xml:space="preserve"> viser </w:t>
      </w:r>
      <w:r>
        <w:t xml:space="preserve">antall nyregistrerte og bruktimporterte traktorer i perioden 1993-2014 og anslag for 2015 basert på utviklingen hittil i år. </w:t>
      </w:r>
    </w:p>
    <w:p w:rsidR="006C0727" w:rsidRDefault="006C0727">
      <w:pPr>
        <w:rPr>
          <w:u w:val="single"/>
        </w:rPr>
      </w:pPr>
    </w:p>
    <w:p w:rsidR="008C7199" w:rsidRDefault="008C7199">
      <w:pPr>
        <w:rPr>
          <w:u w:val="single"/>
        </w:rPr>
      </w:pPr>
      <w:r>
        <w:rPr>
          <w:u w:val="single"/>
        </w:rPr>
        <w:t>Figur 1</w:t>
      </w:r>
    </w:p>
    <w:p w:rsidR="000F1D9F" w:rsidRDefault="00540713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27801358" wp14:editId="2B3457D2">
            <wp:extent cx="5972810" cy="3866515"/>
            <wp:effectExtent l="0" t="0" r="27940" b="1968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7199" w:rsidRPr="008C7199" w:rsidRDefault="008C7199">
      <w:pPr>
        <w:rPr>
          <w:sz w:val="20"/>
          <w:szCs w:val="20"/>
        </w:rPr>
      </w:pPr>
      <w:r w:rsidRPr="008C7199">
        <w:rPr>
          <w:sz w:val="20"/>
          <w:szCs w:val="20"/>
        </w:rPr>
        <w:t>Kilde: Opplysningsrådet for veitrafikken</w:t>
      </w:r>
    </w:p>
    <w:p w:rsidR="008C7199" w:rsidRDefault="008C7199">
      <w:pPr>
        <w:rPr>
          <w:u w:val="single"/>
        </w:rPr>
      </w:pPr>
    </w:p>
    <w:p w:rsidR="008C7199" w:rsidRDefault="008C7199">
      <w:pPr>
        <w:rPr>
          <w:u w:val="single"/>
        </w:rPr>
      </w:pPr>
    </w:p>
    <w:p w:rsidR="008C7199" w:rsidRDefault="008C7199">
      <w:pPr>
        <w:rPr>
          <w:u w:val="single"/>
        </w:rPr>
      </w:pPr>
    </w:p>
    <w:p w:rsidR="007D6EB9" w:rsidRDefault="007D6EB9"/>
    <w:p w:rsidR="00F44D01" w:rsidRDefault="00F44D01">
      <w:r>
        <w:t xml:space="preserve">Både antall nyregistreringer og bruktimporten er i dag på omtrent samme nivå som for 20 år siden. </w:t>
      </w:r>
    </w:p>
    <w:p w:rsidR="001011E7" w:rsidRDefault="00F44D01">
      <w:r>
        <w:t xml:space="preserve">Det kan se ut som nyregistreringene </w:t>
      </w:r>
      <w:r w:rsidR="005E7C9C">
        <w:t>"</w:t>
      </w:r>
      <w:r>
        <w:t>svinger</w:t>
      </w:r>
      <w:r w:rsidR="005E7C9C">
        <w:t>"</w:t>
      </w:r>
      <w:r>
        <w:t xml:space="preserve"> mer enn bruktimporten, men relativt sett, dvs. i forhold til antallet</w:t>
      </w:r>
      <w:r w:rsidR="005E7C9C">
        <w:t xml:space="preserve"> traktorer</w:t>
      </w:r>
      <w:r>
        <w:t xml:space="preserve">, er det importen som svinger mest. Det fremgår av figur 2, der vi har </w:t>
      </w:r>
      <w:r w:rsidRPr="0056672B">
        <w:rPr>
          <w:i/>
        </w:rPr>
        <w:t>indeksert</w:t>
      </w:r>
      <w:r>
        <w:t xml:space="preserve"> tidsutviklingen</w:t>
      </w:r>
      <w:r w:rsidR="001011E7">
        <w:t xml:space="preserve">. </w:t>
      </w:r>
    </w:p>
    <w:p w:rsidR="0056672B" w:rsidRDefault="0056672B"/>
    <w:p w:rsidR="0056672B" w:rsidRDefault="0056672B"/>
    <w:p w:rsidR="001011E7" w:rsidRDefault="001011E7"/>
    <w:p w:rsidR="001011E7" w:rsidRDefault="001011E7"/>
    <w:p w:rsidR="001011E7" w:rsidRDefault="001011E7"/>
    <w:p w:rsidR="001011E7" w:rsidRDefault="001011E7"/>
    <w:p w:rsidR="001011E7" w:rsidRDefault="001011E7"/>
    <w:p w:rsidR="001011E7" w:rsidRDefault="001011E7"/>
    <w:p w:rsidR="006D6FA7" w:rsidRDefault="006D6FA7"/>
    <w:p w:rsidR="006D6FA7" w:rsidRDefault="006D6FA7"/>
    <w:p w:rsidR="006D6FA7" w:rsidRDefault="006D6FA7"/>
    <w:p w:rsidR="001011E7" w:rsidRPr="001011E7" w:rsidRDefault="001011E7">
      <w:r>
        <w:lastRenderedPageBreak/>
        <w:t>Figur 2</w:t>
      </w:r>
    </w:p>
    <w:p w:rsidR="001011E7" w:rsidRDefault="00656F8E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6C34D6B7" wp14:editId="784E93A0">
            <wp:extent cx="5972810" cy="3922395"/>
            <wp:effectExtent l="0" t="0" r="27940" b="20955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11E7" w:rsidRPr="001011E7" w:rsidRDefault="001011E7">
      <w:pPr>
        <w:rPr>
          <w:sz w:val="20"/>
          <w:szCs w:val="20"/>
        </w:rPr>
      </w:pPr>
      <w:r w:rsidRPr="001011E7">
        <w:rPr>
          <w:sz w:val="20"/>
          <w:szCs w:val="20"/>
        </w:rPr>
        <w:t>Kilde: Opplysningsrådet for veitrafikken</w:t>
      </w:r>
    </w:p>
    <w:p w:rsidR="001011E7" w:rsidRDefault="001011E7">
      <w:pPr>
        <w:rPr>
          <w:u w:val="single"/>
        </w:rPr>
      </w:pPr>
    </w:p>
    <w:p w:rsidR="0057522D" w:rsidRDefault="0057522D" w:rsidP="0057522D"/>
    <w:p w:rsidR="0057522D" w:rsidRPr="00B62D7C" w:rsidRDefault="0057522D" w:rsidP="0057522D">
      <w:r>
        <w:t xml:space="preserve">Nyregistreringene går i bølger med bølgetopper i 1996, 2006 og 2011; men trendveksten over hele perioden er </w:t>
      </w:r>
      <w:r w:rsidRPr="0057522D">
        <w:rPr>
          <w:i/>
        </w:rPr>
        <w:t xml:space="preserve">bare </w:t>
      </w:r>
      <w:proofErr w:type="spellStart"/>
      <w:r w:rsidRPr="0057522D">
        <w:rPr>
          <w:i/>
        </w:rPr>
        <w:t>såvidt</w:t>
      </w:r>
      <w:proofErr w:type="spellEnd"/>
      <w:r w:rsidRPr="0057522D">
        <w:rPr>
          <w:i/>
        </w:rPr>
        <w:t xml:space="preserve"> over null</w:t>
      </w:r>
      <w:r>
        <w:t xml:space="preserve">.   </w:t>
      </w:r>
    </w:p>
    <w:p w:rsidR="0057522D" w:rsidRDefault="0057522D"/>
    <w:p w:rsidR="006C0727" w:rsidRPr="00AE51A8" w:rsidRDefault="00E07E7E">
      <w:r>
        <w:t xml:space="preserve">Bruktimporten viser en helt annen utvikling. </w:t>
      </w:r>
      <w:r w:rsidR="00AE51A8">
        <w:t xml:space="preserve">Frem til 2011 steg </w:t>
      </w:r>
      <w:r>
        <w:t xml:space="preserve">den </w:t>
      </w:r>
      <w:r w:rsidR="00AE51A8">
        <w:t xml:space="preserve">med 10 prosent i gjennomsnitt per år. </w:t>
      </w:r>
      <w:r w:rsidR="00502D15">
        <w:t xml:space="preserve">Oppgangen </w:t>
      </w:r>
      <w:r w:rsidR="00AE51A8">
        <w:t xml:space="preserve">var særlig sterk mot slutten av perioden. </w:t>
      </w:r>
      <w:r w:rsidR="00502D15" w:rsidRPr="00502D15">
        <w:rPr>
          <w:i/>
        </w:rPr>
        <w:t>Etter</w:t>
      </w:r>
      <w:r w:rsidR="00DA0853">
        <w:t xml:space="preserve"> 2011 </w:t>
      </w:r>
      <w:r w:rsidR="00502D15">
        <w:t xml:space="preserve">har bruktimporten </w:t>
      </w:r>
      <w:r w:rsidR="00502D15" w:rsidRPr="00DA0853">
        <w:rPr>
          <w:i/>
        </w:rPr>
        <w:t>sunket</w:t>
      </w:r>
      <w:r w:rsidR="00502D15">
        <w:t xml:space="preserve"> med hele 3</w:t>
      </w:r>
      <w:r w:rsidR="00DA0853">
        <w:t>0 pr</w:t>
      </w:r>
      <w:r w:rsidR="0057522D">
        <w:t>osent per år. Det er</w:t>
      </w:r>
      <w:r w:rsidR="00DA0853">
        <w:t xml:space="preserve"> en </w:t>
      </w:r>
      <w:r w:rsidR="00502D15" w:rsidRPr="003F55D0">
        <w:rPr>
          <w:i/>
        </w:rPr>
        <w:t>bratt</w:t>
      </w:r>
      <w:r w:rsidR="00D47C52">
        <w:rPr>
          <w:i/>
        </w:rPr>
        <w:t>ere</w:t>
      </w:r>
      <w:r w:rsidR="00502D15" w:rsidRPr="003F55D0">
        <w:rPr>
          <w:i/>
        </w:rPr>
        <w:t xml:space="preserve"> </w:t>
      </w:r>
      <w:r w:rsidR="00DA0853" w:rsidRPr="003F55D0">
        <w:rPr>
          <w:i/>
        </w:rPr>
        <w:t>nedtur</w:t>
      </w:r>
      <w:r w:rsidR="00DA0853">
        <w:t xml:space="preserve"> </w:t>
      </w:r>
      <w:r w:rsidR="00D47C52">
        <w:t>enn</w:t>
      </w:r>
      <w:r w:rsidR="00502D15">
        <w:t xml:space="preserve"> </w:t>
      </w:r>
      <w:r w:rsidR="00502D15" w:rsidRPr="0071425D">
        <w:rPr>
          <w:i/>
        </w:rPr>
        <w:t>oppturen</w:t>
      </w:r>
      <w:r w:rsidR="00502D15">
        <w:t xml:space="preserve"> før 2011. </w:t>
      </w:r>
    </w:p>
    <w:p w:rsidR="006C0727" w:rsidRDefault="006C0727">
      <w:pPr>
        <w:rPr>
          <w:u w:val="single"/>
        </w:rPr>
      </w:pPr>
    </w:p>
    <w:p w:rsidR="006C0727" w:rsidRDefault="006C0727">
      <w:pPr>
        <w:rPr>
          <w:u w:val="single"/>
        </w:rPr>
      </w:pPr>
    </w:p>
    <w:p w:rsidR="009D7E1C" w:rsidRDefault="009D7E1C">
      <w:pPr>
        <w:rPr>
          <w:u w:val="single"/>
        </w:rPr>
      </w:pPr>
    </w:p>
    <w:p w:rsidR="00772EF5" w:rsidRDefault="006C0727">
      <w:pPr>
        <w:rPr>
          <w:u w:val="single"/>
        </w:rPr>
      </w:pPr>
      <w:r>
        <w:rPr>
          <w:u w:val="single"/>
        </w:rPr>
        <w:t>Månedstall hittil i år sammenlignet med i fjor</w:t>
      </w:r>
    </w:p>
    <w:p w:rsidR="000B1F92" w:rsidRDefault="000B1F92">
      <w:pPr>
        <w:rPr>
          <w:u w:val="single"/>
        </w:rPr>
      </w:pPr>
    </w:p>
    <w:p w:rsidR="000B1F92" w:rsidRDefault="000B1F92">
      <w:r w:rsidRPr="000B1F92">
        <w:t xml:space="preserve">Både antall </w:t>
      </w:r>
      <w:r>
        <w:t xml:space="preserve">nyregistrerte og bruktimporterte traktorer var </w:t>
      </w:r>
      <w:r w:rsidRPr="00F55F15">
        <w:rPr>
          <w:i/>
        </w:rPr>
        <w:t>lavest i juli</w:t>
      </w:r>
      <w:r>
        <w:t xml:space="preserve"> begge årene.</w:t>
      </w:r>
      <w:r w:rsidR="00F55F15">
        <w:t xml:space="preserve"> </w:t>
      </w:r>
      <w:r w:rsidR="00662B65">
        <w:t xml:space="preserve">Men måneden med </w:t>
      </w:r>
      <w:r w:rsidR="00662B65" w:rsidRPr="00A464B5">
        <w:rPr>
          <w:i/>
        </w:rPr>
        <w:t>flest registreringer</w:t>
      </w:r>
      <w:r w:rsidR="00662B65">
        <w:t xml:space="preserve"> varierte. </w:t>
      </w:r>
      <w:r w:rsidR="00F55F15">
        <w:t>For begge gruppene var "toppmåneden" en av vintermånedene i fjor og en av vårmånedene i år.</w:t>
      </w:r>
    </w:p>
    <w:p w:rsidR="000B1F92" w:rsidRDefault="000B1F92"/>
    <w:p w:rsidR="002D7E1B" w:rsidRDefault="002D7E1B">
      <w:pPr>
        <w:rPr>
          <w:u w:val="single"/>
        </w:rPr>
      </w:pPr>
    </w:p>
    <w:p w:rsidR="002D7E1B" w:rsidRDefault="002D7E1B">
      <w:pPr>
        <w:rPr>
          <w:u w:val="single"/>
        </w:rPr>
      </w:pPr>
    </w:p>
    <w:p w:rsidR="002D7E1B" w:rsidRDefault="002D7E1B">
      <w:pPr>
        <w:rPr>
          <w:u w:val="single"/>
        </w:rPr>
      </w:pPr>
    </w:p>
    <w:p w:rsidR="002D7E1B" w:rsidRDefault="002D7E1B">
      <w:pPr>
        <w:rPr>
          <w:u w:val="single"/>
        </w:rPr>
      </w:pPr>
    </w:p>
    <w:p w:rsidR="002D7E1B" w:rsidRDefault="002D7E1B">
      <w:pPr>
        <w:rPr>
          <w:u w:val="single"/>
        </w:rPr>
      </w:pPr>
    </w:p>
    <w:p w:rsidR="002D7E1B" w:rsidRDefault="002D7E1B">
      <w:pPr>
        <w:rPr>
          <w:u w:val="single"/>
        </w:rPr>
      </w:pPr>
    </w:p>
    <w:p w:rsidR="002D7E1B" w:rsidRDefault="002D7E1B">
      <w:pPr>
        <w:rPr>
          <w:u w:val="single"/>
        </w:rPr>
      </w:pPr>
    </w:p>
    <w:p w:rsidR="00E45A24" w:rsidRDefault="00E45A24">
      <w:pPr>
        <w:rPr>
          <w:u w:val="single"/>
        </w:rPr>
      </w:pPr>
    </w:p>
    <w:p w:rsidR="00E45A24" w:rsidRDefault="00E45A24">
      <w:pPr>
        <w:rPr>
          <w:u w:val="single"/>
        </w:rPr>
      </w:pPr>
    </w:p>
    <w:p w:rsidR="000B5B3E" w:rsidRDefault="000B5B3E">
      <w:pPr>
        <w:rPr>
          <w:u w:val="single"/>
        </w:rPr>
      </w:pPr>
      <w:r>
        <w:rPr>
          <w:u w:val="single"/>
        </w:rPr>
        <w:lastRenderedPageBreak/>
        <w:t>Figur 3</w:t>
      </w:r>
    </w:p>
    <w:p w:rsidR="00170F9B" w:rsidRDefault="00706B03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7EA3B2E9" wp14:editId="178B347D">
            <wp:extent cx="5972810" cy="3420745"/>
            <wp:effectExtent l="0" t="0" r="27940" b="2730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5B3E" w:rsidRDefault="000B1F92">
      <w:pPr>
        <w:rPr>
          <w:u w:val="single"/>
        </w:rPr>
      </w:pPr>
      <w:r w:rsidRPr="001011E7">
        <w:rPr>
          <w:sz w:val="20"/>
          <w:szCs w:val="20"/>
        </w:rPr>
        <w:t>Kilde: Opplysningsrådet for veitrafikken</w:t>
      </w:r>
    </w:p>
    <w:p w:rsidR="000B1F92" w:rsidRDefault="000B1F92"/>
    <w:p w:rsidR="000B1F92" w:rsidRDefault="00662B65">
      <w:r w:rsidRPr="000B5B3E">
        <w:t>Figur 4</w:t>
      </w:r>
    </w:p>
    <w:p w:rsidR="000B5B3E" w:rsidRDefault="00706B03">
      <w:r>
        <w:rPr>
          <w:noProof/>
          <w:lang w:eastAsia="nb-NO"/>
        </w:rPr>
        <w:drawing>
          <wp:inline distT="0" distB="0" distL="0" distR="0" wp14:anchorId="3F7D1401" wp14:editId="7750CCE2">
            <wp:extent cx="5295900" cy="3376613"/>
            <wp:effectExtent l="0" t="0" r="19050" b="14605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1F92" w:rsidRDefault="000B1F92" w:rsidP="000B1F92">
      <w:pPr>
        <w:rPr>
          <w:u w:val="single"/>
        </w:rPr>
      </w:pPr>
      <w:r w:rsidRPr="001011E7">
        <w:rPr>
          <w:sz w:val="20"/>
          <w:szCs w:val="20"/>
        </w:rPr>
        <w:t>Kilde: Opplysningsrådet for veitrafikken</w:t>
      </w:r>
    </w:p>
    <w:p w:rsidR="000B1F92" w:rsidRDefault="000B1F92"/>
    <w:p w:rsidR="002D7E1B" w:rsidRDefault="002D7E1B">
      <w:pPr>
        <w:rPr>
          <w:u w:val="single"/>
        </w:rPr>
      </w:pPr>
    </w:p>
    <w:p w:rsidR="002D7E1B" w:rsidRDefault="002D7E1B">
      <w:pPr>
        <w:rPr>
          <w:u w:val="single"/>
        </w:rPr>
      </w:pPr>
    </w:p>
    <w:p w:rsidR="002D7E1B" w:rsidRDefault="002D7E1B">
      <w:pPr>
        <w:rPr>
          <w:u w:val="single"/>
        </w:rPr>
      </w:pPr>
    </w:p>
    <w:p w:rsidR="002D7E1B" w:rsidRDefault="002D7E1B">
      <w:pPr>
        <w:rPr>
          <w:u w:val="single"/>
        </w:rPr>
      </w:pPr>
    </w:p>
    <w:p w:rsidR="002D7E1B" w:rsidRDefault="002D7E1B">
      <w:pPr>
        <w:rPr>
          <w:u w:val="single"/>
        </w:rPr>
      </w:pPr>
    </w:p>
    <w:p w:rsidR="002D7E1B" w:rsidRDefault="002D7E1B">
      <w:pPr>
        <w:rPr>
          <w:u w:val="single"/>
        </w:rPr>
      </w:pPr>
    </w:p>
    <w:p w:rsidR="000B5B3E" w:rsidRPr="00662B65" w:rsidRDefault="00662B65">
      <w:pPr>
        <w:rPr>
          <w:u w:val="single"/>
        </w:rPr>
      </w:pPr>
      <w:r w:rsidRPr="00662B65">
        <w:rPr>
          <w:u w:val="single"/>
        </w:rPr>
        <w:lastRenderedPageBreak/>
        <w:t>Endring fra i fjor til</w:t>
      </w:r>
      <w:r>
        <w:rPr>
          <w:u w:val="single"/>
        </w:rPr>
        <w:t xml:space="preserve"> </w:t>
      </w:r>
      <w:r w:rsidRPr="00662B65">
        <w:rPr>
          <w:u w:val="single"/>
        </w:rPr>
        <w:t>i år</w:t>
      </w:r>
    </w:p>
    <w:p w:rsidR="000B5B3E" w:rsidRDefault="000B5B3E"/>
    <w:p w:rsidR="000B5B3E" w:rsidRDefault="000B5B3E">
      <w:r>
        <w:t>Figur 5</w:t>
      </w:r>
    </w:p>
    <w:p w:rsidR="000B5B3E" w:rsidRDefault="009406BA">
      <w:r>
        <w:rPr>
          <w:noProof/>
          <w:lang w:eastAsia="nb-NO"/>
        </w:rPr>
        <w:drawing>
          <wp:inline distT="0" distB="0" distL="0" distR="0" wp14:anchorId="39612F94" wp14:editId="04E620A5">
            <wp:extent cx="5200651" cy="3562350"/>
            <wp:effectExtent l="0" t="0" r="19050" b="1905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B3E" w:rsidRDefault="000B1F92">
      <w:r w:rsidRPr="001011E7">
        <w:rPr>
          <w:sz w:val="20"/>
          <w:szCs w:val="20"/>
        </w:rPr>
        <w:t>Kilde: Opplysningsrådet for veitrafikken</w:t>
      </w:r>
    </w:p>
    <w:p w:rsidR="000B5B3E" w:rsidRDefault="000B5B3E">
      <w:r>
        <w:t>Figur 6</w:t>
      </w:r>
      <w:r w:rsidR="000B1F92" w:rsidRPr="000B1F92">
        <w:rPr>
          <w:sz w:val="20"/>
          <w:szCs w:val="20"/>
        </w:rPr>
        <w:t xml:space="preserve"> </w:t>
      </w:r>
    </w:p>
    <w:p w:rsidR="000B5B3E" w:rsidRPr="000B1F92" w:rsidRDefault="000B5B3E">
      <w:pPr>
        <w:rPr>
          <w:vanish/>
          <w:specVanish/>
        </w:rPr>
      </w:pPr>
    </w:p>
    <w:p w:rsidR="000B5B3E" w:rsidRDefault="000B1F92">
      <w:r>
        <w:t xml:space="preserve"> </w:t>
      </w:r>
      <w:r w:rsidR="007D5A4B">
        <w:rPr>
          <w:noProof/>
          <w:lang w:eastAsia="nb-NO"/>
        </w:rPr>
        <w:drawing>
          <wp:inline distT="0" distB="0" distL="0" distR="0" wp14:anchorId="578F3134" wp14:editId="07A943F6">
            <wp:extent cx="5581651" cy="4152901"/>
            <wp:effectExtent l="0" t="0" r="19050" b="1905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5B3E" w:rsidRPr="000B1F92" w:rsidRDefault="000B5B3E">
      <w:pPr>
        <w:rPr>
          <w:vanish/>
          <w:specVanish/>
        </w:rPr>
      </w:pPr>
    </w:p>
    <w:p w:rsidR="000B5B3E" w:rsidRPr="000B1F92" w:rsidRDefault="000B1F92">
      <w:pPr>
        <w:rPr>
          <w:vanish/>
          <w:specVanish/>
        </w:rPr>
      </w:pPr>
      <w:r>
        <w:t xml:space="preserve"> </w:t>
      </w:r>
    </w:p>
    <w:p w:rsidR="000B1F92" w:rsidRPr="001011E7" w:rsidRDefault="000B1F92" w:rsidP="000B1F92">
      <w:pPr>
        <w:rPr>
          <w:sz w:val="20"/>
          <w:szCs w:val="20"/>
        </w:rPr>
      </w:pPr>
      <w:r>
        <w:rPr>
          <w:u w:val="single"/>
        </w:rPr>
        <w:t xml:space="preserve"> </w:t>
      </w:r>
      <w:r w:rsidRPr="001011E7">
        <w:rPr>
          <w:sz w:val="20"/>
          <w:szCs w:val="20"/>
        </w:rPr>
        <w:t>Kilde: Opplysningsrådet for veitrafikken</w:t>
      </w:r>
    </w:p>
    <w:p w:rsidR="000B5B3E" w:rsidRDefault="000B5B3E">
      <w:pPr>
        <w:rPr>
          <w:u w:val="single"/>
        </w:rPr>
      </w:pPr>
    </w:p>
    <w:p w:rsidR="00FF716A" w:rsidRDefault="007D5A4B">
      <w:r>
        <w:t>I tre</w:t>
      </w:r>
      <w:r w:rsidR="00AC6C40">
        <w:t xml:space="preserve"> av de </w:t>
      </w:r>
      <w:r>
        <w:t>åtte</w:t>
      </w:r>
      <w:r w:rsidR="00AC6C40">
        <w:t xml:space="preserve"> første månedene i år, februar</w:t>
      </w:r>
      <w:r>
        <w:t>,</w:t>
      </w:r>
      <w:r w:rsidR="00AC6C40">
        <w:t xml:space="preserve"> mars</w:t>
      </w:r>
      <w:r>
        <w:t xml:space="preserve"> og august,</w:t>
      </w:r>
      <w:r w:rsidR="00AC6C40">
        <w:t xml:space="preserve"> </w:t>
      </w:r>
      <w:r w:rsidR="00AC6C40" w:rsidRPr="00AC6C40">
        <w:rPr>
          <w:i/>
        </w:rPr>
        <w:t>økte</w:t>
      </w:r>
      <w:r w:rsidR="0023756F">
        <w:t xml:space="preserve"> nyregistreringe</w:t>
      </w:r>
      <w:r>
        <w:t>ne</w:t>
      </w:r>
      <w:r w:rsidR="0023756F">
        <w:t xml:space="preserve">, de </w:t>
      </w:r>
      <w:r w:rsidR="00AC6C40">
        <w:t xml:space="preserve">øvrige </w:t>
      </w:r>
      <w:r w:rsidR="002D7E1B">
        <w:t xml:space="preserve">månedene </w:t>
      </w:r>
      <w:r w:rsidR="0023756F">
        <w:t xml:space="preserve">viser nedgang. </w:t>
      </w:r>
      <w:r w:rsidR="00FF716A">
        <w:t>For hele perioden januar-</w:t>
      </w:r>
      <w:r>
        <w:t>august</w:t>
      </w:r>
      <w:r w:rsidR="00FF716A">
        <w:t xml:space="preserve"> var det 6</w:t>
      </w:r>
      <w:r>
        <w:t>1</w:t>
      </w:r>
      <w:r w:rsidR="00FF716A">
        <w:t xml:space="preserve"> færre nyregis</w:t>
      </w:r>
      <w:r w:rsidR="0023756F">
        <w:t xml:space="preserve">treringer i år enn i fjor, </w:t>
      </w:r>
      <w:r w:rsidR="00FF716A">
        <w:t>en nedgang på 3,</w:t>
      </w:r>
      <w:r w:rsidR="008E4757">
        <w:t>1</w:t>
      </w:r>
      <w:r w:rsidR="00FF716A">
        <w:t xml:space="preserve"> prosent. </w:t>
      </w:r>
    </w:p>
    <w:p w:rsidR="00FF716A" w:rsidRDefault="00FF716A"/>
    <w:p w:rsidR="00A20B5B" w:rsidRDefault="00FF716A">
      <w:r>
        <w:t xml:space="preserve">Bruktimporten viser nedgang </w:t>
      </w:r>
      <w:r w:rsidRPr="002D7E1B">
        <w:rPr>
          <w:i/>
        </w:rPr>
        <w:t xml:space="preserve">alle </w:t>
      </w:r>
      <w:r w:rsidR="00666487">
        <w:rPr>
          <w:i/>
        </w:rPr>
        <w:t>åtte</w:t>
      </w:r>
      <w:r w:rsidRPr="002D7E1B">
        <w:rPr>
          <w:i/>
        </w:rPr>
        <w:t xml:space="preserve"> måneder</w:t>
      </w:r>
      <w:r>
        <w:t xml:space="preserve"> </w:t>
      </w:r>
      <w:r w:rsidR="0023756F">
        <w:t xml:space="preserve">hittil </w:t>
      </w:r>
      <w:r>
        <w:t xml:space="preserve">i år sammenlignet med i fjor. </w:t>
      </w:r>
      <w:r w:rsidR="0023756F">
        <w:t>For hele perioden januar-</w:t>
      </w:r>
      <w:r w:rsidR="000C1F51">
        <w:t>august</w:t>
      </w:r>
      <w:r w:rsidR="0023756F">
        <w:t xml:space="preserve"> ble det importert </w:t>
      </w:r>
      <w:r w:rsidR="000C1F51">
        <w:t>75</w:t>
      </w:r>
      <w:r w:rsidR="0023756F">
        <w:t xml:space="preserve"> færre brukte traktorer i år enn i fjor</w:t>
      </w:r>
      <w:r w:rsidR="002D7E1B">
        <w:t>, en nedgang på hele 3</w:t>
      </w:r>
      <w:r w:rsidR="008E4757">
        <w:t>6,6</w:t>
      </w:r>
      <w:r w:rsidR="002D7E1B">
        <w:t xml:space="preserve"> prosent. </w:t>
      </w:r>
    </w:p>
    <w:p w:rsidR="007D2542" w:rsidRDefault="007D2542"/>
    <w:p w:rsidR="007D2542" w:rsidRDefault="00961AD4">
      <w:r>
        <w:t>Den sterke nedgangen i bruktimporterte traktorer har ført til at deres andel av totalen har fortsatt å synke. Se figur 7. Andelen bruktimport var på topp med 20,0 prosent i 2010, og har sunket til 6,4 prosent i år. Det er samme andel som for 20 år siden.</w:t>
      </w:r>
    </w:p>
    <w:p w:rsidR="002D7E1B" w:rsidRDefault="002D7E1B"/>
    <w:p w:rsidR="00E45A24" w:rsidRDefault="00E45A24">
      <w:r>
        <w:t>Figur 7</w:t>
      </w:r>
    </w:p>
    <w:p w:rsidR="002D7E1B" w:rsidRDefault="00961AD4">
      <w:r>
        <w:rPr>
          <w:noProof/>
          <w:lang w:eastAsia="nb-NO"/>
        </w:rPr>
        <w:drawing>
          <wp:inline distT="0" distB="0" distL="0" distR="0" wp14:anchorId="0047BCBB" wp14:editId="7657007F">
            <wp:extent cx="4724400" cy="3328988"/>
            <wp:effectExtent l="0" t="0" r="19050" b="2413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7E1B" w:rsidRPr="00EB7612" w:rsidRDefault="00EB7612">
      <w:pPr>
        <w:rPr>
          <w:sz w:val="20"/>
          <w:szCs w:val="20"/>
        </w:rPr>
      </w:pPr>
      <w:r>
        <w:rPr>
          <w:sz w:val="20"/>
          <w:szCs w:val="20"/>
        </w:rPr>
        <w:t>Kilde: Opplysningskontoret for veitrafikken</w:t>
      </w:r>
    </w:p>
    <w:p w:rsidR="00A20B5B" w:rsidRPr="000F1D9F" w:rsidRDefault="00A20B5B">
      <w:pPr>
        <w:rPr>
          <w:u w:val="single"/>
        </w:rPr>
      </w:pPr>
    </w:p>
    <w:sectPr w:rsidR="00A20B5B" w:rsidRPr="000F1D9F" w:rsidSect="00772EF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F"/>
    <w:rsid w:val="000B1F92"/>
    <w:rsid w:val="000B5B3E"/>
    <w:rsid w:val="000C1F51"/>
    <w:rsid w:val="000F1D9F"/>
    <w:rsid w:val="001011E7"/>
    <w:rsid w:val="001477C6"/>
    <w:rsid w:val="00170F9B"/>
    <w:rsid w:val="001A6A4D"/>
    <w:rsid w:val="0023756F"/>
    <w:rsid w:val="00282723"/>
    <w:rsid w:val="002D4729"/>
    <w:rsid w:val="002D7E1B"/>
    <w:rsid w:val="003F55D0"/>
    <w:rsid w:val="00502D15"/>
    <w:rsid w:val="00540713"/>
    <w:rsid w:val="0056672B"/>
    <w:rsid w:val="0057522D"/>
    <w:rsid w:val="005E7C9C"/>
    <w:rsid w:val="0063535C"/>
    <w:rsid w:val="00656F8E"/>
    <w:rsid w:val="00662B65"/>
    <w:rsid w:val="00666487"/>
    <w:rsid w:val="00690193"/>
    <w:rsid w:val="006C0727"/>
    <w:rsid w:val="006D6FA7"/>
    <w:rsid w:val="00706B03"/>
    <w:rsid w:val="0071425D"/>
    <w:rsid w:val="00772EF5"/>
    <w:rsid w:val="00797A85"/>
    <w:rsid w:val="007D2542"/>
    <w:rsid w:val="007D5A4B"/>
    <w:rsid w:val="007D6EB9"/>
    <w:rsid w:val="008C7199"/>
    <w:rsid w:val="008E4757"/>
    <w:rsid w:val="009406BA"/>
    <w:rsid w:val="00961AD4"/>
    <w:rsid w:val="009D7E1C"/>
    <w:rsid w:val="00A20B5B"/>
    <w:rsid w:val="00A464B5"/>
    <w:rsid w:val="00AC6C40"/>
    <w:rsid w:val="00AE51A8"/>
    <w:rsid w:val="00B62D7C"/>
    <w:rsid w:val="00BB353F"/>
    <w:rsid w:val="00BC1212"/>
    <w:rsid w:val="00D47C52"/>
    <w:rsid w:val="00DA0853"/>
    <w:rsid w:val="00E07E7E"/>
    <w:rsid w:val="00E45A24"/>
    <w:rsid w:val="00EB7612"/>
    <w:rsid w:val="00F44D01"/>
    <w:rsid w:val="00F55F1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10os2cfi007\102600$\TC\Users\102600bobe\Documents\TLIF%20Traktorstatistikk\Traktorer%201991-2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og bruktimporterte traktorer 1993-2004 og anslag 2015</a:t>
            </a:r>
          </a:p>
        </c:rich>
      </c:tx>
      <c:layout>
        <c:manualLayout>
          <c:xMode val="edge"/>
          <c:yMode val="edge"/>
          <c:x val="0.12539837783434965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877243023193529"/>
          <c:y val="6.2261005454928547E-2"/>
          <c:w val="0.85812356328093475"/>
          <c:h val="0.79074618875136915"/>
        </c:manualLayout>
      </c:layout>
      <c:lineChart>
        <c:grouping val="standard"/>
        <c:varyColors val="0"/>
        <c:ser>
          <c:idx val="0"/>
          <c:order val="0"/>
          <c:tx>
            <c:strRef>
              <c:f>'Ark2'!$B$4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'Ark2'!$A$5:$A$27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'Ark2'!$B$5:$B$27</c:f>
              <c:numCache>
                <c:formatCode>General</c:formatCode>
                <c:ptCount val="23"/>
                <c:pt idx="0">
                  <c:v>2575</c:v>
                </c:pt>
                <c:pt idx="1">
                  <c:v>3325</c:v>
                </c:pt>
                <c:pt idx="2">
                  <c:v>4006</c:v>
                </c:pt>
                <c:pt idx="3">
                  <c:v>4313</c:v>
                </c:pt>
                <c:pt idx="4">
                  <c:v>3831</c:v>
                </c:pt>
                <c:pt idx="5">
                  <c:v>3332</c:v>
                </c:pt>
                <c:pt idx="6">
                  <c:v>3784</c:v>
                </c:pt>
                <c:pt idx="7">
                  <c:v>3171</c:v>
                </c:pt>
                <c:pt idx="8">
                  <c:v>3205</c:v>
                </c:pt>
                <c:pt idx="9">
                  <c:v>3535</c:v>
                </c:pt>
                <c:pt idx="10">
                  <c:v>3690</c:v>
                </c:pt>
                <c:pt idx="11">
                  <c:v>4288</c:v>
                </c:pt>
                <c:pt idx="12">
                  <c:v>4510</c:v>
                </c:pt>
                <c:pt idx="13">
                  <c:v>4873</c:v>
                </c:pt>
                <c:pt idx="14">
                  <c:v>4576</c:v>
                </c:pt>
                <c:pt idx="15">
                  <c:v>4175</c:v>
                </c:pt>
                <c:pt idx="16">
                  <c:v>3133</c:v>
                </c:pt>
                <c:pt idx="17">
                  <c:v>4039</c:v>
                </c:pt>
                <c:pt idx="18">
                  <c:v>4694</c:v>
                </c:pt>
                <c:pt idx="19">
                  <c:v>4363</c:v>
                </c:pt>
                <c:pt idx="20">
                  <c:v>4418</c:v>
                </c:pt>
                <c:pt idx="21">
                  <c:v>3476</c:v>
                </c:pt>
                <c:pt idx="22" formatCode="0">
                  <c:v>3259.2531135169797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'Ark2'!$C$4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'Ark2'!$A$5:$A$27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'Ark2'!$C$5:$C$27</c:f>
              <c:numCache>
                <c:formatCode>General</c:formatCode>
                <c:ptCount val="23"/>
                <c:pt idx="0">
                  <c:v>2400</c:v>
                </c:pt>
                <c:pt idx="1">
                  <c:v>3068</c:v>
                </c:pt>
                <c:pt idx="2">
                  <c:v>3756</c:v>
                </c:pt>
                <c:pt idx="3">
                  <c:v>4097</c:v>
                </c:pt>
                <c:pt idx="4">
                  <c:v>3609</c:v>
                </c:pt>
                <c:pt idx="5">
                  <c:v>3127</c:v>
                </c:pt>
                <c:pt idx="6">
                  <c:v>3542</c:v>
                </c:pt>
                <c:pt idx="7">
                  <c:v>2897</c:v>
                </c:pt>
                <c:pt idx="8">
                  <c:v>2879</c:v>
                </c:pt>
                <c:pt idx="9">
                  <c:v>3099</c:v>
                </c:pt>
                <c:pt idx="10">
                  <c:v>3239</c:v>
                </c:pt>
                <c:pt idx="11">
                  <c:v>3875</c:v>
                </c:pt>
                <c:pt idx="12">
                  <c:v>4028</c:v>
                </c:pt>
                <c:pt idx="13">
                  <c:v>4371</c:v>
                </c:pt>
                <c:pt idx="14">
                  <c:v>4187</c:v>
                </c:pt>
                <c:pt idx="15">
                  <c:v>3708</c:v>
                </c:pt>
                <c:pt idx="16">
                  <c:v>2631</c:v>
                </c:pt>
                <c:pt idx="17">
                  <c:v>3233</c:v>
                </c:pt>
                <c:pt idx="18">
                  <c:v>3829</c:v>
                </c:pt>
                <c:pt idx="19">
                  <c:v>3655</c:v>
                </c:pt>
                <c:pt idx="20">
                  <c:v>3831</c:v>
                </c:pt>
                <c:pt idx="21">
                  <c:v>3149</c:v>
                </c:pt>
                <c:pt idx="22" formatCode="0">
                  <c:v>3051.887259858443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'Ark2'!$D$4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'Ark2'!$A$5:$A$27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'Ark2'!$D$5:$D$27</c:f>
              <c:numCache>
                <c:formatCode>General</c:formatCode>
                <c:ptCount val="23"/>
                <c:pt idx="0">
                  <c:v>175</c:v>
                </c:pt>
                <c:pt idx="1">
                  <c:v>257</c:v>
                </c:pt>
                <c:pt idx="2">
                  <c:v>250</c:v>
                </c:pt>
                <c:pt idx="3">
                  <c:v>216</c:v>
                </c:pt>
                <c:pt idx="4">
                  <c:v>222</c:v>
                </c:pt>
                <c:pt idx="5">
                  <c:v>205</c:v>
                </c:pt>
                <c:pt idx="6">
                  <c:v>242</c:v>
                </c:pt>
                <c:pt idx="7">
                  <c:v>274</c:v>
                </c:pt>
                <c:pt idx="8">
                  <c:v>326</c:v>
                </c:pt>
                <c:pt idx="9">
                  <c:v>436</c:v>
                </c:pt>
                <c:pt idx="10">
                  <c:v>451</c:v>
                </c:pt>
                <c:pt idx="11">
                  <c:v>413</c:v>
                </c:pt>
                <c:pt idx="12">
                  <c:v>482</c:v>
                </c:pt>
                <c:pt idx="13">
                  <c:v>502</c:v>
                </c:pt>
                <c:pt idx="14">
                  <c:v>389</c:v>
                </c:pt>
                <c:pt idx="15">
                  <c:v>467</c:v>
                </c:pt>
                <c:pt idx="16">
                  <c:v>502</c:v>
                </c:pt>
                <c:pt idx="17">
                  <c:v>806</c:v>
                </c:pt>
                <c:pt idx="18">
                  <c:v>865</c:v>
                </c:pt>
                <c:pt idx="19">
                  <c:v>708</c:v>
                </c:pt>
                <c:pt idx="20">
                  <c:v>587</c:v>
                </c:pt>
                <c:pt idx="21">
                  <c:v>327</c:v>
                </c:pt>
                <c:pt idx="22" formatCode="0">
                  <c:v>207.36585365853659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043072"/>
        <c:axId val="41044608"/>
      </c:lineChart>
      <c:catAx>
        <c:axId val="4104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044608"/>
        <c:crosses val="autoZero"/>
        <c:auto val="1"/>
        <c:lblAlgn val="ctr"/>
        <c:lblOffset val="100"/>
        <c:noMultiLvlLbl val="0"/>
      </c:catAx>
      <c:valAx>
        <c:axId val="41044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104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463118425986227"/>
          <c:y val="0.55264159068308283"/>
          <c:w val="0.21427133962071454"/>
          <c:h val="0.118302815698333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og bruktimporterte traktorer. </a:t>
            </a:r>
          </a:p>
          <a:p>
            <a:pPr>
              <a:defRPr/>
            </a:pPr>
            <a:r>
              <a:rPr lang="en-US"/>
              <a:t>1993-2014/anslag 2015 (Indeks 1993=100)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9.60574670883554E-2"/>
          <c:y val="5.1239614097426972E-2"/>
          <c:w val="0.87668819199003489"/>
          <c:h val="0.8231073107119502"/>
        </c:manualLayout>
      </c:layout>
      <c:lineChart>
        <c:grouping val="standard"/>
        <c:varyColors val="0"/>
        <c:ser>
          <c:idx val="0"/>
          <c:order val="0"/>
          <c:tx>
            <c:strRef>
              <c:f>'Ark2'!$B$29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'Ark2'!$A$30:$A$52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'Ark2'!$B$30:$B$52</c:f>
              <c:numCache>
                <c:formatCode>0.0</c:formatCode>
                <c:ptCount val="23"/>
                <c:pt idx="0" formatCode="General">
                  <c:v>100</c:v>
                </c:pt>
                <c:pt idx="1">
                  <c:v>146.85714285714286</c:v>
                </c:pt>
                <c:pt idx="2">
                  <c:v>142.85714285714286</c:v>
                </c:pt>
                <c:pt idx="3">
                  <c:v>123.42857142857142</c:v>
                </c:pt>
                <c:pt idx="4">
                  <c:v>126.85714285714285</c:v>
                </c:pt>
                <c:pt idx="5">
                  <c:v>117.14285714285715</c:v>
                </c:pt>
                <c:pt idx="6">
                  <c:v>138.28571428571428</c:v>
                </c:pt>
                <c:pt idx="7">
                  <c:v>156.57142857142856</c:v>
                </c:pt>
                <c:pt idx="8">
                  <c:v>186.28571428571428</c:v>
                </c:pt>
                <c:pt idx="9">
                  <c:v>249.14285714285717</c:v>
                </c:pt>
                <c:pt idx="10">
                  <c:v>257.71428571428572</c:v>
                </c:pt>
                <c:pt idx="11">
                  <c:v>236</c:v>
                </c:pt>
                <c:pt idx="12">
                  <c:v>275.42857142857144</c:v>
                </c:pt>
                <c:pt idx="13">
                  <c:v>286.85714285714289</c:v>
                </c:pt>
                <c:pt idx="14">
                  <c:v>222.28571428571428</c:v>
                </c:pt>
                <c:pt idx="15">
                  <c:v>266.85714285714283</c:v>
                </c:pt>
                <c:pt idx="16">
                  <c:v>286.85714285714289</c:v>
                </c:pt>
                <c:pt idx="17">
                  <c:v>460.57142857142861</c:v>
                </c:pt>
                <c:pt idx="18">
                  <c:v>494.28571428571433</c:v>
                </c:pt>
                <c:pt idx="19">
                  <c:v>404.57142857142856</c:v>
                </c:pt>
                <c:pt idx="20">
                  <c:v>335.42857142857139</c:v>
                </c:pt>
                <c:pt idx="21">
                  <c:v>186.85714285714286</c:v>
                </c:pt>
                <c:pt idx="22">
                  <c:v>118.49477351916377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'Ark2'!$C$29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'Ark2'!$A$30:$A$52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'Ark2'!$C$30:$C$52</c:f>
              <c:numCache>
                <c:formatCode>0.0</c:formatCode>
                <c:ptCount val="23"/>
                <c:pt idx="0" formatCode="General">
                  <c:v>100</c:v>
                </c:pt>
                <c:pt idx="1">
                  <c:v>129.12621359223303</c:v>
                </c:pt>
                <c:pt idx="2">
                  <c:v>155.57281553398059</c:v>
                </c:pt>
                <c:pt idx="3">
                  <c:v>167.49514563106794</c:v>
                </c:pt>
                <c:pt idx="4">
                  <c:v>148.77669902912621</c:v>
                </c:pt>
                <c:pt idx="5">
                  <c:v>129.39805825242718</c:v>
                </c:pt>
                <c:pt idx="6">
                  <c:v>146.95145631067962</c:v>
                </c:pt>
                <c:pt idx="7">
                  <c:v>123.14563106796118</c:v>
                </c:pt>
                <c:pt idx="8">
                  <c:v>124.46601941747572</c:v>
                </c:pt>
                <c:pt idx="9">
                  <c:v>137.28155339805826</c:v>
                </c:pt>
                <c:pt idx="10">
                  <c:v>143.30097087378641</c:v>
                </c:pt>
                <c:pt idx="11">
                  <c:v>166.52427184466018</c:v>
                </c:pt>
                <c:pt idx="12">
                  <c:v>175.14563106796118</c:v>
                </c:pt>
                <c:pt idx="13">
                  <c:v>189.24271844660194</c:v>
                </c:pt>
                <c:pt idx="14">
                  <c:v>177.70873786407765</c:v>
                </c:pt>
                <c:pt idx="15">
                  <c:v>162.13592233009709</c:v>
                </c:pt>
                <c:pt idx="16">
                  <c:v>121.66990291262137</c:v>
                </c:pt>
                <c:pt idx="17">
                  <c:v>156.85436893203882</c:v>
                </c:pt>
                <c:pt idx="18">
                  <c:v>182.29126213592232</c:v>
                </c:pt>
                <c:pt idx="19">
                  <c:v>169.4368932038835</c:v>
                </c:pt>
                <c:pt idx="20">
                  <c:v>171.57281553398059</c:v>
                </c:pt>
                <c:pt idx="21">
                  <c:v>134.99029126213594</c:v>
                </c:pt>
                <c:pt idx="22">
                  <c:v>126.57293644726136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'Ark2'!$D$29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'Ark2'!$A$30:$A$52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'Ark2'!$D$30:$D$52</c:f>
              <c:numCache>
                <c:formatCode>0.0</c:formatCode>
                <c:ptCount val="23"/>
                <c:pt idx="0" formatCode="General">
                  <c:v>100</c:v>
                </c:pt>
                <c:pt idx="1">
                  <c:v>127.83333333333333</c:v>
                </c:pt>
                <c:pt idx="2">
                  <c:v>156.5</c:v>
                </c:pt>
                <c:pt idx="3">
                  <c:v>170.70833333333331</c:v>
                </c:pt>
                <c:pt idx="4">
                  <c:v>150.375</c:v>
                </c:pt>
                <c:pt idx="5">
                  <c:v>130.29166666666669</c:v>
                </c:pt>
                <c:pt idx="6">
                  <c:v>147.58333333333334</c:v>
                </c:pt>
                <c:pt idx="7">
                  <c:v>120.70833333333333</c:v>
                </c:pt>
                <c:pt idx="8">
                  <c:v>119.95833333333333</c:v>
                </c:pt>
                <c:pt idx="9">
                  <c:v>129.125</c:v>
                </c:pt>
                <c:pt idx="10">
                  <c:v>134.95833333333334</c:v>
                </c:pt>
                <c:pt idx="11">
                  <c:v>161.45833333333331</c:v>
                </c:pt>
                <c:pt idx="12">
                  <c:v>167.83333333333331</c:v>
                </c:pt>
                <c:pt idx="13">
                  <c:v>182.125</c:v>
                </c:pt>
                <c:pt idx="14">
                  <c:v>174.45833333333334</c:v>
                </c:pt>
                <c:pt idx="15">
                  <c:v>154.5</c:v>
                </c:pt>
                <c:pt idx="16">
                  <c:v>109.625</c:v>
                </c:pt>
                <c:pt idx="17">
                  <c:v>134.70833333333334</c:v>
                </c:pt>
                <c:pt idx="18">
                  <c:v>159.54166666666666</c:v>
                </c:pt>
                <c:pt idx="19">
                  <c:v>152.29166666666666</c:v>
                </c:pt>
                <c:pt idx="20">
                  <c:v>159.625</c:v>
                </c:pt>
                <c:pt idx="21">
                  <c:v>131.20833333333331</c:v>
                </c:pt>
                <c:pt idx="22">
                  <c:v>127.16196916076845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084032"/>
        <c:axId val="41085568"/>
      </c:lineChart>
      <c:catAx>
        <c:axId val="4108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085568"/>
        <c:crosses val="autoZero"/>
        <c:auto val="1"/>
        <c:lblAlgn val="ctr"/>
        <c:lblOffset val="100"/>
        <c:noMultiLvlLbl val="0"/>
      </c:catAx>
      <c:valAx>
        <c:axId val="41085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I n d e k 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108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04392195730775"/>
          <c:y val="0.34165108779282005"/>
          <c:w val="0.18653737853639557"/>
          <c:h val="0.2387182788974758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traktorer per måned</a:t>
            </a:r>
          </a:p>
          <a:p>
            <a:pPr>
              <a:defRPr/>
            </a:pPr>
            <a:r>
              <a:rPr lang="en-US"/>
              <a:t>i 2014 og hittil i 2015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'Ark6'!$B$17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'Ark6'!$A$18:$A$29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'Ark6'!$B$18:$B$29</c:f>
              <c:numCache>
                <c:formatCode>General</c:formatCode>
                <c:ptCount val="12"/>
                <c:pt idx="0">
                  <c:v>317</c:v>
                </c:pt>
                <c:pt idx="1">
                  <c:v>202</c:v>
                </c:pt>
                <c:pt idx="2">
                  <c:v>232</c:v>
                </c:pt>
                <c:pt idx="3">
                  <c:v>288</c:v>
                </c:pt>
                <c:pt idx="4">
                  <c:v>269</c:v>
                </c:pt>
                <c:pt idx="5">
                  <c:v>279</c:v>
                </c:pt>
                <c:pt idx="6">
                  <c:v>200</c:v>
                </c:pt>
                <c:pt idx="7">
                  <c:v>191</c:v>
                </c:pt>
                <c:pt idx="8">
                  <c:v>246</c:v>
                </c:pt>
                <c:pt idx="9">
                  <c:v>279</c:v>
                </c:pt>
                <c:pt idx="10">
                  <c:v>271</c:v>
                </c:pt>
                <c:pt idx="11">
                  <c:v>375</c:v>
                </c:pt>
              </c:numCache>
            </c:numRef>
          </c:val>
        </c:ser>
        <c:ser>
          <c:idx val="1"/>
          <c:order val="1"/>
          <c:tx>
            <c:strRef>
              <c:f>'Ark6'!$C$17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'Ark6'!$A$18:$A$29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'Ark6'!$C$18:$C$29</c:f>
              <c:numCache>
                <c:formatCode>General</c:formatCode>
                <c:ptCount val="12"/>
                <c:pt idx="0">
                  <c:v>241</c:v>
                </c:pt>
                <c:pt idx="1">
                  <c:v>213</c:v>
                </c:pt>
                <c:pt idx="2">
                  <c:v>314</c:v>
                </c:pt>
                <c:pt idx="3">
                  <c:v>265</c:v>
                </c:pt>
                <c:pt idx="4">
                  <c:v>221</c:v>
                </c:pt>
                <c:pt idx="5">
                  <c:v>278</c:v>
                </c:pt>
                <c:pt idx="6">
                  <c:v>186</c:v>
                </c:pt>
                <c:pt idx="7">
                  <c:v>199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514112"/>
        <c:axId val="191515648"/>
      </c:barChart>
      <c:catAx>
        <c:axId val="191514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1515648"/>
        <c:crosses val="autoZero"/>
        <c:auto val="1"/>
        <c:lblAlgn val="ctr"/>
        <c:lblOffset val="100"/>
        <c:noMultiLvlLbl val="0"/>
      </c:catAx>
      <c:valAx>
        <c:axId val="19151564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91514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Antall bruktimporterte traktorer per måned</a:t>
            </a:r>
          </a:p>
          <a:p>
            <a:pPr>
              <a:defRPr sz="1400"/>
            </a:pPr>
            <a:r>
              <a:rPr lang="en-US" sz="1400"/>
              <a:t> i 2014 og hittil i 2015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'Ark6'!$J$3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'Ark6'!$I$4:$I$15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'Ark6'!$J$4:$J$15</c:f>
              <c:numCache>
                <c:formatCode>General</c:formatCode>
                <c:ptCount val="12"/>
                <c:pt idx="0">
                  <c:v>26</c:v>
                </c:pt>
                <c:pt idx="1">
                  <c:v>33</c:v>
                </c:pt>
                <c:pt idx="2">
                  <c:v>22</c:v>
                </c:pt>
                <c:pt idx="3">
                  <c:v>26</c:v>
                </c:pt>
                <c:pt idx="4">
                  <c:v>29</c:v>
                </c:pt>
                <c:pt idx="5">
                  <c:v>23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34</c:v>
                </c:pt>
                <c:pt idx="10">
                  <c:v>27</c:v>
                </c:pt>
                <c:pt idx="11">
                  <c:v>32</c:v>
                </c:pt>
              </c:numCache>
            </c:numRef>
          </c:val>
        </c:ser>
        <c:ser>
          <c:idx val="1"/>
          <c:order val="1"/>
          <c:tx>
            <c:strRef>
              <c:f>'Ark6'!$K$3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'Ark6'!$I$4:$I$15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'Ark6'!$K$4:$K$15</c:f>
              <c:numCache>
                <c:formatCode>General</c:formatCode>
                <c:ptCount val="12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23</c:v>
                </c:pt>
                <c:pt idx="4">
                  <c:v>16</c:v>
                </c:pt>
                <c:pt idx="5">
                  <c:v>21</c:v>
                </c:pt>
                <c:pt idx="6">
                  <c:v>9</c:v>
                </c:pt>
                <c:pt idx="7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112896"/>
        <c:axId val="212136704"/>
      </c:barChart>
      <c:catAx>
        <c:axId val="212112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136704"/>
        <c:crosses val="autoZero"/>
        <c:auto val="1"/>
        <c:lblAlgn val="ctr"/>
        <c:lblOffset val="100"/>
        <c:noMultiLvlLbl val="0"/>
      </c:catAx>
      <c:valAx>
        <c:axId val="2121367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2112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Endring i antall nyregistrerte traktorer per måned hittil i år sammenlignet med tilsvarende måned i fjor.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515471620764401"/>
          <c:y val="9.3057111176610946E-2"/>
          <c:w val="0.84798326209545694"/>
          <c:h val="0.778749421028253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'Ark5'!$B$3</c:f>
              <c:strCache>
                <c:ptCount val="1"/>
                <c:pt idx="0">
                  <c:v>Antall</c:v>
                </c:pt>
              </c:strCache>
            </c:strRef>
          </c:tx>
          <c:invertIfNegative val="0"/>
          <c:cat>
            <c:strRef>
              <c:f>'Ark5'!$A$4:$A$12</c:f>
              <c:strCache>
                <c:ptCount val="9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Jan-aug</c:v>
                </c:pt>
              </c:strCache>
            </c:strRef>
          </c:cat>
          <c:val>
            <c:numRef>
              <c:f>'Ark5'!$B$4:$B$12</c:f>
              <c:numCache>
                <c:formatCode>General</c:formatCode>
                <c:ptCount val="9"/>
                <c:pt idx="0">
                  <c:v>-76</c:v>
                </c:pt>
                <c:pt idx="1">
                  <c:v>11</c:v>
                </c:pt>
                <c:pt idx="2">
                  <c:v>82</c:v>
                </c:pt>
                <c:pt idx="3">
                  <c:v>-23</c:v>
                </c:pt>
                <c:pt idx="4">
                  <c:v>-48</c:v>
                </c:pt>
                <c:pt idx="5">
                  <c:v>-1</c:v>
                </c:pt>
                <c:pt idx="6">
                  <c:v>-14</c:v>
                </c:pt>
                <c:pt idx="7">
                  <c:v>8</c:v>
                </c:pt>
                <c:pt idx="8">
                  <c:v>-61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606400"/>
        <c:axId val="220110848"/>
      </c:barChart>
      <c:catAx>
        <c:axId val="217606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0110848"/>
        <c:crosses val="autoZero"/>
        <c:auto val="1"/>
        <c:lblAlgn val="ctr"/>
        <c:lblOffset val="100"/>
        <c:noMultiLvlLbl val="0"/>
      </c:catAx>
      <c:valAx>
        <c:axId val="2201108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7606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Endring i antall bruktimporterte traktorer per måned hittil i år sammenlignet med tilsvarende måned i fjor.</a:t>
            </a:r>
          </a:p>
        </c:rich>
      </c:tx>
      <c:layout>
        <c:manualLayout>
          <c:xMode val="edge"/>
          <c:yMode val="edge"/>
          <c:x val="0.1312570420472365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458392687038297"/>
          <c:y val="0.2082645360435994"/>
          <c:w val="0.84356169885935184"/>
          <c:h val="0.68177136897797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'Ark5'!$B$18</c:f>
              <c:strCache>
                <c:ptCount val="1"/>
                <c:pt idx="0">
                  <c:v>Antall</c:v>
                </c:pt>
              </c:strCache>
            </c:strRef>
          </c:tx>
          <c:invertIfNegative val="0"/>
          <c:cat>
            <c:strRef>
              <c:f>'Ark5'!$A$19:$A$27</c:f>
              <c:strCache>
                <c:ptCount val="9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Jan-aug</c:v>
                </c:pt>
              </c:strCache>
            </c:strRef>
          </c:cat>
          <c:val>
            <c:numRef>
              <c:f>'Ark5'!$B$19:$B$27</c:f>
              <c:numCache>
                <c:formatCode>General</c:formatCode>
                <c:ptCount val="9"/>
                <c:pt idx="0">
                  <c:v>-8</c:v>
                </c:pt>
                <c:pt idx="1">
                  <c:v>-19</c:v>
                </c:pt>
                <c:pt idx="2">
                  <c:v>-6</c:v>
                </c:pt>
                <c:pt idx="3">
                  <c:v>-3</c:v>
                </c:pt>
                <c:pt idx="4">
                  <c:v>-13</c:v>
                </c:pt>
                <c:pt idx="5">
                  <c:v>-2</c:v>
                </c:pt>
                <c:pt idx="6">
                  <c:v>-12</c:v>
                </c:pt>
                <c:pt idx="7">
                  <c:v>-12</c:v>
                </c:pt>
                <c:pt idx="8">
                  <c:v>-75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183232"/>
        <c:axId val="82709888"/>
      </c:barChart>
      <c:catAx>
        <c:axId val="77183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82709888"/>
        <c:crosses val="autoZero"/>
        <c:auto val="1"/>
        <c:lblAlgn val="ctr"/>
        <c:lblOffset val="100"/>
        <c:noMultiLvlLbl val="0"/>
      </c:catAx>
      <c:valAx>
        <c:axId val="827098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 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77183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Nyregistrerte og bruktimporterte traktorer i prosent av totalen. 1993-2014/anslag 2015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3674519515705699"/>
          <c:y val="0.20173428080846192"/>
          <c:w val="0.81060409787486243"/>
          <c:h val="0.63244655733213817"/>
        </c:manualLayout>
      </c:layout>
      <c:lineChart>
        <c:grouping val="standard"/>
        <c:varyColors val="0"/>
        <c:ser>
          <c:idx val="0"/>
          <c:order val="0"/>
          <c:tx>
            <c:strRef>
              <c:f>'Ark7'!$B$3</c:f>
              <c:strCache>
                <c:ptCount val="1"/>
                <c:pt idx="0">
                  <c:v>Nye traktorer</c:v>
                </c:pt>
              </c:strCache>
            </c:strRef>
          </c:tx>
          <c:cat>
            <c:numRef>
              <c:f>'Ark7'!$A$4:$A$26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'Ark7'!$B$4:$B$26</c:f>
              <c:numCache>
                <c:formatCode>0.0</c:formatCode>
                <c:ptCount val="23"/>
                <c:pt idx="0">
                  <c:v>93.203883495145632</c:v>
                </c:pt>
                <c:pt idx="1">
                  <c:v>92.270676691729321</c:v>
                </c:pt>
                <c:pt idx="2">
                  <c:v>93.759360958562155</c:v>
                </c:pt>
                <c:pt idx="3">
                  <c:v>94.991884998840717</c:v>
                </c:pt>
                <c:pt idx="4">
                  <c:v>94.205168363351603</c:v>
                </c:pt>
                <c:pt idx="5">
                  <c:v>93.847539015606245</c:v>
                </c:pt>
                <c:pt idx="6">
                  <c:v>93.604651162790702</c:v>
                </c:pt>
                <c:pt idx="7">
                  <c:v>91.359192683695994</c:v>
                </c:pt>
                <c:pt idx="8">
                  <c:v>89.82839313572542</c:v>
                </c:pt>
                <c:pt idx="9">
                  <c:v>87.666195190947676</c:v>
                </c:pt>
                <c:pt idx="10">
                  <c:v>87.777777777777771</c:v>
                </c:pt>
                <c:pt idx="11">
                  <c:v>90.368470149253739</c:v>
                </c:pt>
                <c:pt idx="12">
                  <c:v>89.312638580931264</c:v>
                </c:pt>
                <c:pt idx="13">
                  <c:v>89.698337779601886</c:v>
                </c:pt>
                <c:pt idx="14">
                  <c:v>91.49912587412588</c:v>
                </c:pt>
                <c:pt idx="15">
                  <c:v>88.814371257485021</c:v>
                </c:pt>
                <c:pt idx="16">
                  <c:v>83.977018831790616</c:v>
                </c:pt>
                <c:pt idx="17">
                  <c:v>80.044565486506556</c:v>
                </c:pt>
                <c:pt idx="18">
                  <c:v>81.572219855134207</c:v>
                </c:pt>
                <c:pt idx="19">
                  <c:v>83.772633509053406</c:v>
                </c:pt>
                <c:pt idx="20">
                  <c:v>86.713444997736531</c:v>
                </c:pt>
                <c:pt idx="21">
                  <c:v>90.592635212888368</c:v>
                </c:pt>
                <c:pt idx="22">
                  <c:v>93.6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'Ark7'!$C$3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'Ark7'!$A$4:$A$26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'Ark7'!$C$4:$C$26</c:f>
              <c:numCache>
                <c:formatCode>0.0</c:formatCode>
                <c:ptCount val="23"/>
                <c:pt idx="0">
                  <c:v>6.7961165048543686</c:v>
                </c:pt>
                <c:pt idx="1">
                  <c:v>7.7293233082706765</c:v>
                </c:pt>
                <c:pt idx="2">
                  <c:v>6.2406390414378432</c:v>
                </c:pt>
                <c:pt idx="3">
                  <c:v>5.0081150011592861</c:v>
                </c:pt>
                <c:pt idx="4">
                  <c:v>5.7948316366483947</c:v>
                </c:pt>
                <c:pt idx="5">
                  <c:v>6.1524609843937572</c:v>
                </c:pt>
                <c:pt idx="6">
                  <c:v>6.395348837209303</c:v>
                </c:pt>
                <c:pt idx="7">
                  <c:v>8.6408073163040058</c:v>
                </c:pt>
                <c:pt idx="8">
                  <c:v>10.171606864274571</c:v>
                </c:pt>
                <c:pt idx="9">
                  <c:v>12.333804809052335</c:v>
                </c:pt>
                <c:pt idx="10">
                  <c:v>12.222222222222221</c:v>
                </c:pt>
                <c:pt idx="11">
                  <c:v>9.6315298507462686</c:v>
                </c:pt>
                <c:pt idx="12">
                  <c:v>10.687361419068736</c:v>
                </c:pt>
                <c:pt idx="13">
                  <c:v>10.301662220398113</c:v>
                </c:pt>
                <c:pt idx="14">
                  <c:v>8.5008741258741267</c:v>
                </c:pt>
                <c:pt idx="15">
                  <c:v>11.18562874251497</c:v>
                </c:pt>
                <c:pt idx="16">
                  <c:v>16.022981168209384</c:v>
                </c:pt>
                <c:pt idx="17">
                  <c:v>19.95543451349344</c:v>
                </c:pt>
                <c:pt idx="18">
                  <c:v>18.427780144865785</c:v>
                </c:pt>
                <c:pt idx="19">
                  <c:v>16.227366490946597</c:v>
                </c:pt>
                <c:pt idx="20">
                  <c:v>13.286555002263468</c:v>
                </c:pt>
                <c:pt idx="21">
                  <c:v>9.4073647871116233</c:v>
                </c:pt>
                <c:pt idx="22">
                  <c:v>6.4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956992"/>
        <c:axId val="205958528"/>
      </c:lineChart>
      <c:catAx>
        <c:axId val="20595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958528"/>
        <c:crosses val="autoZero"/>
        <c:auto val="1"/>
        <c:lblAlgn val="ctr"/>
        <c:lblOffset val="100"/>
        <c:noMultiLvlLbl val="0"/>
      </c:catAx>
      <c:valAx>
        <c:axId val="2059585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 r o s e n t 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20595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79068241469821"/>
          <c:y val="0.34683836395450568"/>
          <c:w val="0.32586169672339343"/>
          <c:h val="0.275943319711575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Berg-Hansen</dc:creator>
  <cp:lastModifiedBy>Børre Berg-Hansen</cp:lastModifiedBy>
  <cp:revision>2</cp:revision>
  <dcterms:created xsi:type="dcterms:W3CDTF">2015-09-14T06:10:00Z</dcterms:created>
  <dcterms:modified xsi:type="dcterms:W3CDTF">2015-09-14T06:10:00Z</dcterms:modified>
</cp:coreProperties>
</file>